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Arial" w:hAnsi="Arial" w:cs="Arial"/>
          <w:sz w:val="26"/>
          <w:sz-cs w:val="26"/>
          <w:color w:val="1A1A1A"/>
        </w:rPr>
        <w:t xml:space="preserve">Hey everyone! I know some of you did some research on these before but most of you haven’t.  So… after you finish the banking assignment, take a look at these and get me some definitions.  You can work in pairs if you would prefer that.  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/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RRSP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RDSP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TFSA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Pension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credit rating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mortgage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amortization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APR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principal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Canada Pension Plan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Old Age Security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Income Tax</w:t>
      </w:r>
    </w:p>
    <w:p>
      <w:pPr/>
      <w:r>
        <w:rPr>
          <w:rFonts w:ascii="Arial" w:hAnsi="Arial" w:cs="Arial"/>
          <w:sz w:val="26"/>
          <w:sz-cs w:val="26"/>
          <w:color w:val="1A1A1A"/>
        </w:rPr>
        <w:t xml:space="preserve">"PayDay Lender"</w:t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INFRAWARE,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CocoaOOXMLWriter/1265</generator>
</meta>
</file>